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Process Paper Assignment: 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How to Overcome Stage Fright</w:t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the notes from your research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stage fright and the list of requirements below.  Consider your audience your peers and your purpose to assist them in overcoming stage fright.  This may be published online or to a real audience, so be sure this is your best work. Last, pre-write a list of the steps in this process.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3238500</wp:posOffset>
            </wp:positionH>
            <wp:positionV relativeFrom="paragraph">
              <wp:posOffset>1209675</wp:posOffset>
            </wp:positionV>
            <wp:extent cx="2586038" cy="25860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2586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writing must be a minimum of one paragraph (5 – 8 sentences) and a maximum of four paragraphs in length.  It must contain a clear topic sentence, be organized in sequential order (so that I could actually perform the process with your instructions), and will be specifically scored on the criteria below.  </w:t>
      </w:r>
    </w:p>
    <w:tbl>
      <w:tblPr>
        <w:tblStyle w:val="Table1"/>
        <w:bidiVisual w:val="0"/>
        <w:tblW w:w="47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tblGridChange w:id="0">
          <w:tblGrid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Category/Skill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Possible Points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sentences are complete with no run-ons or fragments.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personal pronouns are used and language is academically appropriate.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minimum of 5 sentences is employed in each paragraph; a maximum of 8 sentences is employed in each paragraph.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process is clearly outlined in the writing piece.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process is logically laid out and steps clearly transition from one to the next.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suggestions are research based and properly cited.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Possible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